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BB0F0" w14:textId="299F1732" w:rsidR="00462D8A" w:rsidRDefault="005017F1" w:rsidP="00E13AC0">
      <w:pPr>
        <w:spacing w:after="120" w:line="276" w:lineRule="auto"/>
        <w:jc w:val="both"/>
        <w:rPr>
          <w:rFonts w:ascii="Arial" w:eastAsia="Calibri" w:hAnsi="Arial" w:cs="Arial"/>
          <w:b/>
          <w:sz w:val="30"/>
          <w:szCs w:val="30"/>
          <w:lang w:eastAsia="en-US"/>
        </w:rPr>
      </w:pPr>
      <w:bookmarkStart w:id="0" w:name="OLE_LINK1"/>
      <w:r w:rsidRPr="005017F1">
        <w:rPr>
          <w:rFonts w:ascii="Arial" w:eastAsia="Calibri" w:hAnsi="Arial" w:cs="Arial"/>
          <w:b/>
          <w:noProof/>
          <w:sz w:val="30"/>
          <w:szCs w:val="30"/>
          <w:lang w:eastAsia="en-US"/>
        </w:rPr>
        <w:drawing>
          <wp:anchor distT="0" distB="0" distL="114300" distR="114300" simplePos="0" relativeHeight="251662336" behindDoc="0" locked="0" layoutInCell="1" allowOverlap="1" wp14:anchorId="5A3BDA57" wp14:editId="6F51EF47">
            <wp:simplePos x="0" y="0"/>
            <wp:positionH relativeFrom="column">
              <wp:posOffset>227965</wp:posOffset>
            </wp:positionH>
            <wp:positionV relativeFrom="paragraph">
              <wp:posOffset>-457835</wp:posOffset>
            </wp:positionV>
            <wp:extent cx="1966325" cy="97536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966325" cy="975360"/>
                    </a:xfrm>
                    <a:prstGeom prst="rect">
                      <a:avLst/>
                    </a:prstGeom>
                  </pic:spPr>
                </pic:pic>
              </a:graphicData>
            </a:graphic>
            <wp14:sizeRelH relativeFrom="page">
              <wp14:pctWidth>0</wp14:pctWidth>
            </wp14:sizeRelH>
            <wp14:sizeRelV relativeFrom="page">
              <wp14:pctHeight>0</wp14:pctHeight>
            </wp14:sizeRelV>
          </wp:anchor>
        </w:drawing>
      </w:r>
      <w:r w:rsidRPr="00AB04CC">
        <w:rPr>
          <w:noProof/>
        </w:rPr>
        <w:drawing>
          <wp:anchor distT="0" distB="0" distL="114300" distR="114300" simplePos="0" relativeHeight="251661312" behindDoc="0" locked="0" layoutInCell="1" allowOverlap="1" wp14:anchorId="5B551D53" wp14:editId="6C166EBC">
            <wp:simplePos x="0" y="0"/>
            <wp:positionH relativeFrom="column">
              <wp:posOffset>3009265</wp:posOffset>
            </wp:positionH>
            <wp:positionV relativeFrom="paragraph">
              <wp:posOffset>-318770</wp:posOffset>
            </wp:positionV>
            <wp:extent cx="2781935" cy="607695"/>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81935" cy="607695"/>
                    </a:xfrm>
                    <a:prstGeom prst="rect">
                      <a:avLst/>
                    </a:prstGeom>
                  </pic:spPr>
                </pic:pic>
              </a:graphicData>
            </a:graphic>
            <wp14:sizeRelH relativeFrom="page">
              <wp14:pctWidth>0</wp14:pctWidth>
            </wp14:sizeRelH>
            <wp14:sizeRelV relativeFrom="page">
              <wp14:pctHeight>0</wp14:pctHeight>
            </wp14:sizeRelV>
          </wp:anchor>
        </w:drawing>
      </w:r>
    </w:p>
    <w:p w14:paraId="3495B414" w14:textId="2D14EC9F" w:rsidR="00B94FBB" w:rsidRPr="00921759" w:rsidRDefault="00B94FBB" w:rsidP="009B3276">
      <w:pPr>
        <w:spacing w:after="120" w:line="276" w:lineRule="auto"/>
        <w:jc w:val="both"/>
        <w:rPr>
          <w:rFonts w:ascii="Arial" w:eastAsia="Calibri" w:hAnsi="Arial" w:cs="Arial"/>
          <w:b/>
          <w:sz w:val="18"/>
          <w:szCs w:val="18"/>
          <w:lang w:eastAsia="en-US"/>
        </w:rPr>
      </w:pPr>
    </w:p>
    <w:p w14:paraId="6DF238EE" w14:textId="77777777" w:rsidR="00B862E1" w:rsidRDefault="00B862E1" w:rsidP="00390EF9">
      <w:pPr>
        <w:spacing w:after="120"/>
        <w:jc w:val="both"/>
        <w:rPr>
          <w:rFonts w:ascii="Arial" w:hAnsi="Arial" w:cs="Arial"/>
          <w:b/>
          <w:sz w:val="30"/>
          <w:szCs w:val="30"/>
          <w:lang w:eastAsia="en-US"/>
        </w:rPr>
      </w:pPr>
    </w:p>
    <w:p w14:paraId="7C0E701D" w14:textId="4418CA08" w:rsidR="00390EF9" w:rsidRPr="007652CB" w:rsidRDefault="00D80169" w:rsidP="00390EF9">
      <w:pPr>
        <w:spacing w:after="120"/>
        <w:jc w:val="both"/>
        <w:rPr>
          <w:rFonts w:ascii="Arial" w:hAnsi="Arial" w:cs="Arial"/>
          <w:sz w:val="20"/>
          <w:szCs w:val="20"/>
        </w:rPr>
      </w:pPr>
      <w:r>
        <w:rPr>
          <w:rFonts w:ascii="Arial" w:hAnsi="Arial" w:cs="Arial"/>
          <w:b/>
          <w:sz w:val="30"/>
          <w:szCs w:val="30"/>
          <w:lang w:eastAsia="en-US"/>
        </w:rPr>
        <w:t xml:space="preserve">Expo 2027 Belgrad: </w:t>
      </w:r>
      <w:r w:rsidRPr="00D80169">
        <w:rPr>
          <w:rFonts w:ascii="Arial" w:hAnsi="Arial" w:cs="Arial"/>
          <w:b/>
          <w:sz w:val="30"/>
          <w:szCs w:val="30"/>
          <w:lang w:eastAsia="en-US"/>
        </w:rPr>
        <w:t>Eine europäische Plattform für Zusammenarbeit und langfristige Entwicklung</w:t>
      </w:r>
    </w:p>
    <w:p w14:paraId="3B995673" w14:textId="6D7324B0" w:rsidR="00D80169" w:rsidRPr="00D80169" w:rsidRDefault="00D80169" w:rsidP="00D80169">
      <w:pPr>
        <w:pStyle w:val="berschrift2"/>
        <w:jc w:val="both"/>
        <w:rPr>
          <w:rFonts w:ascii="Arial" w:hAnsi="Arial" w:cs="Arial"/>
          <w:b w:val="0"/>
          <w:i/>
          <w:iCs/>
          <w:sz w:val="20"/>
          <w:szCs w:val="20"/>
        </w:rPr>
      </w:pPr>
      <w:r w:rsidRPr="00D80169">
        <w:rPr>
          <w:rFonts w:ascii="Arial" w:hAnsi="Arial" w:cs="Arial"/>
          <w:b w:val="0"/>
          <w:i/>
          <w:iCs/>
          <w:sz w:val="20"/>
          <w:szCs w:val="20"/>
        </w:rPr>
        <w:t>Mit der Belgrade Expo 2027 betritt Serbien die Weltbühne mit einer weitreichenden Veranstaltung, die über die Landesgrenzen hinaus eine nachhaltige Wirkung zeigen wird.</w:t>
      </w:r>
    </w:p>
    <w:bookmarkEnd w:id="0"/>
    <w:p w14:paraId="697328DB" w14:textId="70754636" w:rsidR="00D80169" w:rsidRPr="00D80169" w:rsidRDefault="00D80169" w:rsidP="00D80169">
      <w:pPr>
        <w:pStyle w:val="berschrift2"/>
        <w:jc w:val="both"/>
        <w:rPr>
          <w:rFonts w:ascii="Arial" w:hAnsi="Arial" w:cs="Arial"/>
          <w:bCs w:val="0"/>
          <w:sz w:val="20"/>
          <w:szCs w:val="20"/>
        </w:rPr>
      </w:pPr>
      <w:r w:rsidRPr="00D80169">
        <w:rPr>
          <w:rFonts w:ascii="Arial" w:hAnsi="Arial" w:cs="Arial"/>
          <w:bCs w:val="0"/>
          <w:sz w:val="20"/>
          <w:szCs w:val="20"/>
        </w:rPr>
        <w:t xml:space="preserve">Vom 15. Mai bis zum 15. August 2027 findet in Belgrad die Expo 2027 statt, eine vom Bureau International des </w:t>
      </w:r>
      <w:proofErr w:type="spellStart"/>
      <w:r w:rsidRPr="00D80169">
        <w:rPr>
          <w:rFonts w:ascii="Arial" w:hAnsi="Arial" w:cs="Arial"/>
          <w:bCs w:val="0"/>
          <w:sz w:val="20"/>
          <w:szCs w:val="20"/>
        </w:rPr>
        <w:t>Expositions</w:t>
      </w:r>
      <w:proofErr w:type="spellEnd"/>
      <w:r w:rsidRPr="00D80169">
        <w:rPr>
          <w:rFonts w:ascii="Arial" w:hAnsi="Arial" w:cs="Arial"/>
          <w:bCs w:val="0"/>
          <w:sz w:val="20"/>
          <w:szCs w:val="20"/>
        </w:rPr>
        <w:t xml:space="preserve"> (BIE) anerkannte Fachausstellung. Unter dem Motto „Play </w:t>
      </w:r>
      <w:proofErr w:type="spellStart"/>
      <w:r w:rsidRPr="00D80169">
        <w:rPr>
          <w:rFonts w:ascii="Arial" w:hAnsi="Arial" w:cs="Arial"/>
          <w:bCs w:val="0"/>
          <w:sz w:val="20"/>
          <w:szCs w:val="20"/>
        </w:rPr>
        <w:t>for</w:t>
      </w:r>
      <w:proofErr w:type="spellEnd"/>
      <w:r w:rsidRPr="00D80169">
        <w:rPr>
          <w:rFonts w:ascii="Arial" w:hAnsi="Arial" w:cs="Arial"/>
          <w:bCs w:val="0"/>
          <w:sz w:val="20"/>
          <w:szCs w:val="20"/>
        </w:rPr>
        <w:t xml:space="preserve"> </w:t>
      </w:r>
      <w:proofErr w:type="spellStart"/>
      <w:r w:rsidRPr="00D80169">
        <w:rPr>
          <w:rFonts w:ascii="Arial" w:hAnsi="Arial" w:cs="Arial"/>
          <w:bCs w:val="0"/>
          <w:sz w:val="20"/>
          <w:szCs w:val="20"/>
        </w:rPr>
        <w:t>Humanity</w:t>
      </w:r>
      <w:proofErr w:type="spellEnd"/>
      <w:r w:rsidRPr="00D80169">
        <w:rPr>
          <w:rFonts w:ascii="Arial" w:hAnsi="Arial" w:cs="Arial"/>
          <w:bCs w:val="0"/>
          <w:sz w:val="20"/>
          <w:szCs w:val="20"/>
        </w:rPr>
        <w:t xml:space="preserve">: Sport and Music </w:t>
      </w:r>
      <w:proofErr w:type="spellStart"/>
      <w:r w:rsidRPr="00D80169">
        <w:rPr>
          <w:rFonts w:ascii="Arial" w:hAnsi="Arial" w:cs="Arial"/>
          <w:bCs w:val="0"/>
          <w:sz w:val="20"/>
          <w:szCs w:val="20"/>
        </w:rPr>
        <w:t>for</w:t>
      </w:r>
      <w:proofErr w:type="spellEnd"/>
      <w:r w:rsidRPr="00D80169">
        <w:rPr>
          <w:rFonts w:ascii="Arial" w:hAnsi="Arial" w:cs="Arial"/>
          <w:bCs w:val="0"/>
          <w:sz w:val="20"/>
          <w:szCs w:val="20"/>
        </w:rPr>
        <w:t xml:space="preserve"> All“ werden während der 93-tägigen Veranstaltung mehr als 130 teilnehmende Länder und über vier Millionen Besucher erwartet.</w:t>
      </w:r>
    </w:p>
    <w:p w14:paraId="01F35A11" w14:textId="77777777" w:rsidR="00D80169" w:rsidRPr="00D80169" w:rsidRDefault="00D80169" w:rsidP="00D80169">
      <w:pPr>
        <w:pStyle w:val="berschrift2"/>
        <w:jc w:val="both"/>
        <w:rPr>
          <w:rFonts w:ascii="Arial" w:hAnsi="Arial" w:cs="Arial"/>
          <w:b w:val="0"/>
          <w:sz w:val="20"/>
          <w:szCs w:val="20"/>
        </w:rPr>
      </w:pPr>
      <w:r w:rsidRPr="00D80169">
        <w:rPr>
          <w:rFonts w:ascii="Arial" w:hAnsi="Arial" w:cs="Arial"/>
          <w:b w:val="0"/>
          <w:sz w:val="20"/>
          <w:szCs w:val="20"/>
        </w:rPr>
        <w:t xml:space="preserve">Die Expo 2027 in Belgrad wurde als strukturierte internationale Plattform konzipiert, die </w:t>
      </w:r>
      <w:r w:rsidRPr="00D80169">
        <w:rPr>
          <w:rFonts w:ascii="Arial" w:hAnsi="Arial" w:cs="Arial"/>
          <w:bCs w:val="0"/>
          <w:sz w:val="20"/>
          <w:szCs w:val="20"/>
        </w:rPr>
        <w:t xml:space="preserve">kulturellen Austausch, Wirtschaftsdialog und Innovation </w:t>
      </w:r>
      <w:r w:rsidRPr="00D80169">
        <w:rPr>
          <w:rFonts w:ascii="Arial" w:hAnsi="Arial" w:cs="Arial"/>
          <w:b w:val="0"/>
          <w:sz w:val="20"/>
          <w:szCs w:val="20"/>
        </w:rPr>
        <w:t>miteinander verknüpft. Die Bestätigung der Teilnahme Deutschlands und Österreichs spiegelt die etablierten europäischen Partnerschaften und die fortdauernde wirtschaftliche Zusammenarbeit wider.</w:t>
      </w:r>
    </w:p>
    <w:p w14:paraId="2AF8AC39" w14:textId="2A283FF2" w:rsidR="00D80169" w:rsidRPr="00D80169" w:rsidRDefault="00D80169" w:rsidP="00D80169">
      <w:pPr>
        <w:pStyle w:val="berschrift2"/>
        <w:jc w:val="both"/>
        <w:rPr>
          <w:rFonts w:ascii="Arial" w:hAnsi="Arial" w:cs="Arial"/>
          <w:b w:val="0"/>
          <w:sz w:val="20"/>
          <w:szCs w:val="20"/>
        </w:rPr>
      </w:pPr>
      <w:r w:rsidRPr="00D80169">
        <w:rPr>
          <w:rFonts w:ascii="Arial" w:hAnsi="Arial" w:cs="Arial"/>
          <w:b w:val="0"/>
          <w:sz w:val="20"/>
          <w:szCs w:val="20"/>
        </w:rPr>
        <w:t xml:space="preserve">Das Expo-Gelände wird auf einer Fläche von 25 Hektar zwischen Neu-Belgrad und dem Fluss Sava als Teil eines umfassenderen </w:t>
      </w:r>
      <w:r w:rsidRPr="00D80169">
        <w:rPr>
          <w:rFonts w:ascii="Arial" w:hAnsi="Arial" w:cs="Arial"/>
          <w:bCs w:val="0"/>
          <w:sz w:val="20"/>
          <w:szCs w:val="20"/>
        </w:rPr>
        <w:t>Stadtentwicklungsplans</w:t>
      </w:r>
      <w:r w:rsidRPr="00D80169">
        <w:rPr>
          <w:rFonts w:ascii="Arial" w:hAnsi="Arial" w:cs="Arial"/>
          <w:b w:val="0"/>
          <w:sz w:val="20"/>
          <w:szCs w:val="20"/>
        </w:rPr>
        <w:t xml:space="preserve"> erschlossen. Zu den Infrastrukturmaßnahmen gehören neue öffentliche Verkehrslinien, eine verbesserte Straßenanbindung und eine Eisenbahnverbindung zwischen dem Vorort Zemun, dem Belgrader Flughafen Nikola Tesla und dem </w:t>
      </w:r>
      <w:r w:rsidR="0059414E">
        <w:rPr>
          <w:rFonts w:ascii="Arial" w:hAnsi="Arial" w:cs="Arial"/>
          <w:b w:val="0"/>
          <w:sz w:val="20"/>
          <w:szCs w:val="20"/>
        </w:rPr>
        <w:t>Expo-Gelände.</w:t>
      </w:r>
    </w:p>
    <w:p w14:paraId="7CAB6B27" w14:textId="7E3582EB" w:rsidR="00D80169" w:rsidRPr="00D80169" w:rsidRDefault="00D80169" w:rsidP="00D80169">
      <w:pPr>
        <w:pStyle w:val="berschrift2"/>
        <w:jc w:val="both"/>
        <w:rPr>
          <w:rFonts w:ascii="Arial" w:hAnsi="Arial" w:cs="Arial"/>
          <w:b w:val="0"/>
          <w:sz w:val="20"/>
          <w:szCs w:val="20"/>
        </w:rPr>
      </w:pPr>
      <w:r w:rsidRPr="00D80169">
        <w:rPr>
          <w:rFonts w:ascii="Arial" w:hAnsi="Arial" w:cs="Arial"/>
          <w:b w:val="0"/>
          <w:sz w:val="20"/>
          <w:szCs w:val="20"/>
        </w:rPr>
        <w:t xml:space="preserve">Die geplanten Gesamtinvestitionen belaufen sich auf rund 1,29 Milliarden Euro und umfassen die Standortentwicklung, die Verkehrsinfrastruktur und die Umgestaltung nach der Expo. Nach 2027 soll das Areal als </w:t>
      </w:r>
      <w:r w:rsidRPr="00D80169">
        <w:rPr>
          <w:rFonts w:ascii="Arial" w:hAnsi="Arial" w:cs="Arial"/>
          <w:bCs w:val="0"/>
          <w:sz w:val="20"/>
          <w:szCs w:val="20"/>
        </w:rPr>
        <w:t>permanenter Messe- und Innovationskomplex</w:t>
      </w:r>
      <w:r w:rsidRPr="00D80169">
        <w:rPr>
          <w:rFonts w:ascii="Arial" w:hAnsi="Arial" w:cs="Arial"/>
          <w:b w:val="0"/>
          <w:sz w:val="20"/>
          <w:szCs w:val="20"/>
        </w:rPr>
        <w:t xml:space="preserve"> genutzt werden, </w:t>
      </w:r>
      <w:r w:rsidR="00E02458">
        <w:rPr>
          <w:rFonts w:ascii="Arial" w:hAnsi="Arial" w:cs="Arial"/>
          <w:b w:val="0"/>
          <w:sz w:val="20"/>
          <w:szCs w:val="20"/>
        </w:rPr>
        <w:t xml:space="preserve">weiter </w:t>
      </w:r>
      <w:r w:rsidRPr="00D80169">
        <w:rPr>
          <w:rFonts w:ascii="Arial" w:hAnsi="Arial" w:cs="Arial"/>
          <w:b w:val="0"/>
          <w:sz w:val="20"/>
          <w:szCs w:val="20"/>
        </w:rPr>
        <w:t>ergänzt durch Bildungs</w:t>
      </w:r>
      <w:r>
        <w:rPr>
          <w:rFonts w:ascii="Arial" w:hAnsi="Arial" w:cs="Arial"/>
          <w:b w:val="0"/>
          <w:sz w:val="20"/>
          <w:szCs w:val="20"/>
        </w:rPr>
        <w:t>-</w:t>
      </w:r>
      <w:r w:rsidRPr="00D80169">
        <w:rPr>
          <w:rFonts w:ascii="Arial" w:hAnsi="Arial" w:cs="Arial"/>
          <w:b w:val="0"/>
          <w:sz w:val="20"/>
          <w:szCs w:val="20"/>
        </w:rPr>
        <w:t>, Sport- und Wohnanlagen. Alle Elemente sind auf die Nutzung nach der Veranstaltung ausgelegt, um die Kontinuität der wirtschaftlichen Aktivitäten zu gewährleisten.</w:t>
      </w:r>
    </w:p>
    <w:p w14:paraId="01B3939C" w14:textId="77777777" w:rsidR="00D80169" w:rsidRPr="00D80169" w:rsidRDefault="00D80169" w:rsidP="00D80169">
      <w:pPr>
        <w:pStyle w:val="berschrift2"/>
        <w:jc w:val="both"/>
        <w:rPr>
          <w:rFonts w:ascii="Arial" w:hAnsi="Arial" w:cs="Arial"/>
          <w:b w:val="0"/>
          <w:sz w:val="20"/>
          <w:szCs w:val="20"/>
        </w:rPr>
      </w:pPr>
      <w:r w:rsidRPr="00D80169">
        <w:rPr>
          <w:rFonts w:ascii="Arial" w:hAnsi="Arial" w:cs="Arial"/>
          <w:b w:val="0"/>
          <w:sz w:val="20"/>
          <w:szCs w:val="20"/>
        </w:rPr>
        <w:t xml:space="preserve">Während des 93-tägigen Programms sind mehr als </w:t>
      </w:r>
      <w:r w:rsidRPr="00D80169">
        <w:rPr>
          <w:rFonts w:ascii="Arial" w:hAnsi="Arial" w:cs="Arial"/>
          <w:bCs w:val="0"/>
          <w:sz w:val="20"/>
          <w:szCs w:val="20"/>
        </w:rPr>
        <w:t>8.000 Veranstaltungen</w:t>
      </w:r>
      <w:r w:rsidRPr="00D80169">
        <w:rPr>
          <w:rFonts w:ascii="Arial" w:hAnsi="Arial" w:cs="Arial"/>
          <w:b w:val="0"/>
          <w:sz w:val="20"/>
          <w:szCs w:val="20"/>
        </w:rPr>
        <w:t xml:space="preserve"> geplant, darunter Ausstellungen, Konferenzen und branchenbezogene Foren. Das Programm umfasst außerdem </w:t>
      </w:r>
      <w:r w:rsidRPr="00050F85">
        <w:rPr>
          <w:rFonts w:ascii="Arial" w:hAnsi="Arial" w:cs="Arial"/>
          <w:bCs w:val="0"/>
          <w:sz w:val="20"/>
          <w:szCs w:val="20"/>
        </w:rPr>
        <w:t>14 thematische interaktive Zonen</w:t>
      </w:r>
      <w:r w:rsidRPr="00D80169">
        <w:rPr>
          <w:rFonts w:ascii="Arial" w:hAnsi="Arial" w:cs="Arial"/>
          <w:b w:val="0"/>
          <w:sz w:val="20"/>
          <w:szCs w:val="20"/>
        </w:rPr>
        <w:t>, die für ein Publikum aller Altersgruppen konzipiert sind.</w:t>
      </w:r>
    </w:p>
    <w:p w14:paraId="6B7455F1" w14:textId="59BE78DF" w:rsidR="00D80169" w:rsidRPr="00D80169" w:rsidRDefault="00D80169" w:rsidP="00D80169">
      <w:pPr>
        <w:pStyle w:val="berschrift2"/>
        <w:jc w:val="both"/>
        <w:rPr>
          <w:rFonts w:ascii="Arial" w:hAnsi="Arial" w:cs="Arial"/>
          <w:b w:val="0"/>
          <w:sz w:val="20"/>
          <w:szCs w:val="20"/>
        </w:rPr>
      </w:pPr>
      <w:r w:rsidRPr="00D80169">
        <w:rPr>
          <w:rFonts w:ascii="Arial" w:hAnsi="Arial" w:cs="Arial"/>
          <w:b w:val="0"/>
          <w:sz w:val="20"/>
          <w:szCs w:val="20"/>
        </w:rPr>
        <w:t xml:space="preserve">Die Expo 2027 wird als strukturierte </w:t>
      </w:r>
      <w:r w:rsidRPr="00D80169">
        <w:rPr>
          <w:rFonts w:ascii="Arial" w:hAnsi="Arial" w:cs="Arial"/>
          <w:bCs w:val="0"/>
          <w:sz w:val="20"/>
          <w:szCs w:val="20"/>
        </w:rPr>
        <w:t>B2B- und Networking-Plattform</w:t>
      </w:r>
      <w:r w:rsidRPr="00D80169">
        <w:rPr>
          <w:rFonts w:ascii="Arial" w:hAnsi="Arial" w:cs="Arial"/>
          <w:b w:val="0"/>
          <w:sz w:val="20"/>
          <w:szCs w:val="20"/>
        </w:rPr>
        <w:t xml:space="preserve"> fungieren. Es wird erwartet, dass serbische KMU, Technologieanbieter und Universitäten mit internationalen Partnern zusammenarbeiten und so den geschäftlichen Austausch und Wissenstransfer fördern. Innovation und Nachhaltigkeit sind Teil des Programmrahmens. In Zusammenarbeit mit Archer Aviation umfasst die Vorbereitung die Präsentation von </w:t>
      </w:r>
      <w:r w:rsidRPr="00050F85">
        <w:rPr>
          <w:rFonts w:ascii="Arial" w:hAnsi="Arial" w:cs="Arial"/>
          <w:bCs w:val="0"/>
          <w:sz w:val="20"/>
          <w:szCs w:val="20"/>
        </w:rPr>
        <w:t>elektrischen senkrecht startenden und landenden Flugzeugen</w:t>
      </w:r>
      <w:r w:rsidRPr="00D80169">
        <w:rPr>
          <w:rFonts w:ascii="Arial" w:hAnsi="Arial" w:cs="Arial"/>
          <w:b w:val="0"/>
          <w:sz w:val="20"/>
          <w:szCs w:val="20"/>
        </w:rPr>
        <w:t xml:space="preserve"> </w:t>
      </w:r>
      <w:r w:rsidRPr="00E02458">
        <w:rPr>
          <w:rFonts w:ascii="Arial" w:hAnsi="Arial" w:cs="Arial"/>
          <w:bCs w:val="0"/>
          <w:sz w:val="20"/>
          <w:szCs w:val="20"/>
        </w:rPr>
        <w:t>(</w:t>
      </w:r>
      <w:proofErr w:type="spellStart"/>
      <w:r w:rsidRPr="00E02458">
        <w:rPr>
          <w:rFonts w:ascii="Arial" w:hAnsi="Arial" w:cs="Arial"/>
          <w:bCs w:val="0"/>
          <w:sz w:val="20"/>
          <w:szCs w:val="20"/>
        </w:rPr>
        <w:t>eVTOL</w:t>
      </w:r>
      <w:proofErr w:type="spellEnd"/>
      <w:r w:rsidRPr="00E02458">
        <w:rPr>
          <w:rFonts w:ascii="Arial" w:hAnsi="Arial" w:cs="Arial"/>
          <w:bCs w:val="0"/>
          <w:sz w:val="20"/>
          <w:szCs w:val="20"/>
        </w:rPr>
        <w:t>)</w:t>
      </w:r>
      <w:r w:rsidRPr="00D80169">
        <w:rPr>
          <w:rFonts w:ascii="Arial" w:hAnsi="Arial" w:cs="Arial"/>
          <w:b w:val="0"/>
          <w:sz w:val="20"/>
          <w:szCs w:val="20"/>
        </w:rPr>
        <w:t>, um das Engagement für neue Technologien im Bereich der urbanen Luftmobilität zu demonstrieren.</w:t>
      </w:r>
    </w:p>
    <w:p w14:paraId="6E4253A7" w14:textId="77777777" w:rsidR="00D80169" w:rsidRPr="00D80169" w:rsidRDefault="00D80169" w:rsidP="00D80169">
      <w:pPr>
        <w:pStyle w:val="berschrift2"/>
        <w:jc w:val="both"/>
        <w:rPr>
          <w:rFonts w:ascii="Arial" w:hAnsi="Arial" w:cs="Arial"/>
          <w:b w:val="0"/>
          <w:sz w:val="20"/>
          <w:szCs w:val="20"/>
        </w:rPr>
      </w:pPr>
      <w:r w:rsidRPr="00D80169">
        <w:rPr>
          <w:rFonts w:ascii="Arial" w:hAnsi="Arial" w:cs="Arial"/>
          <w:b w:val="0"/>
          <w:sz w:val="20"/>
          <w:szCs w:val="20"/>
        </w:rPr>
        <w:t xml:space="preserve">Speziell ausgearbeitete </w:t>
      </w:r>
      <w:r w:rsidRPr="00D80169">
        <w:rPr>
          <w:rFonts w:ascii="Arial" w:hAnsi="Arial" w:cs="Arial"/>
          <w:bCs w:val="0"/>
          <w:sz w:val="20"/>
          <w:szCs w:val="20"/>
        </w:rPr>
        <w:t>Reisearrangements</w:t>
      </w:r>
      <w:r w:rsidRPr="00D80169">
        <w:rPr>
          <w:rFonts w:ascii="Arial" w:hAnsi="Arial" w:cs="Arial"/>
          <w:b w:val="0"/>
          <w:sz w:val="20"/>
          <w:szCs w:val="20"/>
        </w:rPr>
        <w:t>, die gemeinsam mit nationalen Tourismusakteuren entwickelt werden, verbinden den Besuch der Expo mit ausgewählten Erlebnissen in ganz Serbien und verknüpfen die Veranstaltung so mit einem umfassenderen Angebot im Bereich Tourismus und Geschäftsreisen.</w:t>
      </w:r>
    </w:p>
    <w:p w14:paraId="10B0A73A" w14:textId="77777777" w:rsidR="00D80169" w:rsidRPr="00D80169" w:rsidRDefault="00D80169" w:rsidP="00D80169">
      <w:pPr>
        <w:pStyle w:val="berschrift2"/>
        <w:jc w:val="both"/>
        <w:rPr>
          <w:rFonts w:ascii="Arial" w:hAnsi="Arial" w:cs="Arial"/>
          <w:b w:val="0"/>
          <w:sz w:val="20"/>
          <w:szCs w:val="20"/>
        </w:rPr>
      </w:pPr>
      <w:r w:rsidRPr="00D80169">
        <w:rPr>
          <w:rFonts w:ascii="Arial" w:hAnsi="Arial" w:cs="Arial"/>
          <w:b w:val="0"/>
          <w:sz w:val="20"/>
          <w:szCs w:val="20"/>
        </w:rPr>
        <w:t xml:space="preserve">Ein voll ausgestattetes </w:t>
      </w:r>
      <w:r w:rsidRPr="00D80169">
        <w:rPr>
          <w:rFonts w:ascii="Arial" w:hAnsi="Arial" w:cs="Arial"/>
          <w:bCs w:val="0"/>
          <w:sz w:val="20"/>
          <w:szCs w:val="20"/>
        </w:rPr>
        <w:t>Presse- und Medienzentrum</w:t>
      </w:r>
      <w:r w:rsidRPr="00D80169">
        <w:rPr>
          <w:rFonts w:ascii="Arial" w:hAnsi="Arial" w:cs="Arial"/>
          <w:b w:val="0"/>
          <w:sz w:val="20"/>
          <w:szCs w:val="20"/>
        </w:rPr>
        <w:t xml:space="preserve">, unterstützt durch ein digitales Medienportal, wird internationalen Journalisten Akkreditierungsdienste und Zugang zu offiziellen Materialien bieten. </w:t>
      </w:r>
    </w:p>
    <w:p w14:paraId="640C2293" w14:textId="77777777" w:rsidR="00D80169" w:rsidRPr="00D80169" w:rsidRDefault="00D80169" w:rsidP="00D80169">
      <w:pPr>
        <w:pStyle w:val="berschrift2"/>
        <w:jc w:val="both"/>
        <w:rPr>
          <w:rFonts w:ascii="Arial" w:hAnsi="Arial" w:cs="Arial"/>
          <w:b w:val="0"/>
          <w:sz w:val="20"/>
          <w:szCs w:val="20"/>
        </w:rPr>
      </w:pPr>
    </w:p>
    <w:p w14:paraId="0A182E07" w14:textId="5B9B2F09" w:rsidR="00D80169" w:rsidRPr="00D80169" w:rsidRDefault="00D80169" w:rsidP="00D80169">
      <w:pPr>
        <w:pStyle w:val="berschrift2"/>
        <w:jc w:val="both"/>
        <w:rPr>
          <w:rFonts w:ascii="Arial" w:hAnsi="Arial" w:cs="Arial"/>
          <w:b w:val="0"/>
          <w:sz w:val="20"/>
          <w:szCs w:val="20"/>
        </w:rPr>
      </w:pPr>
      <w:r w:rsidRPr="00D80169">
        <w:rPr>
          <w:rFonts w:ascii="Arial" w:hAnsi="Arial" w:cs="Arial"/>
          <w:b w:val="0"/>
          <w:sz w:val="20"/>
          <w:szCs w:val="20"/>
        </w:rPr>
        <w:lastRenderedPageBreak/>
        <w:t xml:space="preserve">Die Welt wird auf spielerische Weise zu Gast sein, und Serbien wird bereit sein, die internationalen Gäste willkommen zu heißen. </w:t>
      </w:r>
    </w:p>
    <w:p w14:paraId="2DA2BF61" w14:textId="739B21B2" w:rsidR="00D80169" w:rsidRPr="00D80169" w:rsidRDefault="00D80169" w:rsidP="00D80169">
      <w:pPr>
        <w:pStyle w:val="berschrift2"/>
        <w:jc w:val="both"/>
        <w:rPr>
          <w:rFonts w:ascii="Arial" w:hAnsi="Arial" w:cs="Arial"/>
          <w:b w:val="0"/>
          <w:i/>
          <w:iCs/>
          <w:sz w:val="20"/>
          <w:szCs w:val="20"/>
        </w:rPr>
      </w:pPr>
      <w:r w:rsidRPr="00D80169">
        <w:rPr>
          <w:rFonts w:ascii="Arial" w:hAnsi="Arial" w:cs="Arial"/>
          <w:b w:val="0"/>
          <w:i/>
          <w:iCs/>
          <w:sz w:val="20"/>
          <w:szCs w:val="20"/>
        </w:rPr>
        <w:t xml:space="preserve">Die Expo 2027 Belgrad ist als langfristige Investition in Infrastruktur, </w:t>
      </w:r>
      <w:r w:rsidR="00E02458">
        <w:rPr>
          <w:rFonts w:ascii="Arial" w:hAnsi="Arial" w:cs="Arial"/>
          <w:b w:val="0"/>
          <w:i/>
          <w:iCs/>
          <w:sz w:val="20"/>
          <w:szCs w:val="20"/>
        </w:rPr>
        <w:t>operative S</w:t>
      </w:r>
      <w:r w:rsidRPr="00D80169">
        <w:rPr>
          <w:rFonts w:ascii="Arial" w:hAnsi="Arial" w:cs="Arial"/>
          <w:b w:val="0"/>
          <w:i/>
          <w:iCs/>
          <w:sz w:val="20"/>
          <w:szCs w:val="20"/>
        </w:rPr>
        <w:t xml:space="preserve">tandards und internationale Zusammenarbeit konzipiert und zielt darauf ab, über das Jahr 2027 hinaus einen dauerhaften Mehrwert zu schaffen. Weitere Informationen: </w:t>
      </w:r>
      <w:hyperlink r:id="rId10" w:history="1">
        <w:r w:rsidRPr="00D80169">
          <w:rPr>
            <w:rStyle w:val="Hyperlink"/>
            <w:rFonts w:ascii="Arial" w:hAnsi="Arial" w:cs="Arial"/>
            <w:b w:val="0"/>
            <w:i/>
            <w:iCs/>
            <w:sz w:val="20"/>
            <w:szCs w:val="20"/>
          </w:rPr>
          <w:t>https://expobelgrade2027.org/en</w:t>
        </w:r>
      </w:hyperlink>
    </w:p>
    <w:p w14:paraId="4F0F3D76" w14:textId="31D633A8" w:rsidR="00734C59" w:rsidRPr="00CA0F0C" w:rsidRDefault="00E02458" w:rsidP="00CA0F0C">
      <w:pPr>
        <w:pStyle w:val="berschrift2"/>
        <w:jc w:val="both"/>
        <w:rPr>
          <w:rFonts w:ascii="Arial" w:hAnsi="Arial" w:cs="Arial"/>
          <w:b w:val="0"/>
          <w:sz w:val="20"/>
          <w:szCs w:val="20"/>
        </w:rPr>
      </w:pPr>
      <w:r>
        <w:rPr>
          <w:rFonts w:ascii="Arial" w:hAnsi="Arial"/>
          <w:b w:val="0"/>
          <w:sz w:val="20"/>
          <w:szCs w:val="20"/>
        </w:rPr>
        <w:t>3</w:t>
      </w:r>
      <w:r w:rsidR="00777428" w:rsidRPr="00CA0F0C">
        <w:rPr>
          <w:rFonts w:ascii="Arial" w:hAnsi="Arial"/>
          <w:b w:val="0"/>
          <w:sz w:val="20"/>
          <w:szCs w:val="20"/>
        </w:rPr>
        <w:t>.</w:t>
      </w:r>
      <w:r>
        <w:rPr>
          <w:rFonts w:ascii="Arial" w:hAnsi="Arial"/>
          <w:b w:val="0"/>
          <w:sz w:val="20"/>
          <w:szCs w:val="20"/>
        </w:rPr>
        <w:t>50</w:t>
      </w:r>
      <w:r w:rsidR="0059414E">
        <w:rPr>
          <w:rFonts w:ascii="Arial" w:hAnsi="Arial"/>
          <w:b w:val="0"/>
          <w:sz w:val="20"/>
          <w:szCs w:val="20"/>
        </w:rPr>
        <w:t>8</w:t>
      </w:r>
      <w:r w:rsidR="007F2F84" w:rsidRPr="00CA0F0C">
        <w:rPr>
          <w:rFonts w:ascii="Arial" w:hAnsi="Arial"/>
          <w:b w:val="0"/>
          <w:sz w:val="20"/>
          <w:szCs w:val="20"/>
        </w:rPr>
        <w:t xml:space="preserve"> </w:t>
      </w:r>
      <w:r w:rsidR="004A4F3A" w:rsidRPr="00CA0F0C">
        <w:rPr>
          <w:rFonts w:ascii="Arial" w:hAnsi="Arial"/>
          <w:b w:val="0"/>
          <w:sz w:val="20"/>
          <w:szCs w:val="20"/>
        </w:rPr>
        <w:t>Anschläge</w:t>
      </w:r>
    </w:p>
    <w:p w14:paraId="25E7F854" w14:textId="4D9F5C0D" w:rsidR="00777428" w:rsidRDefault="00777428" w:rsidP="001D7668">
      <w:pPr>
        <w:autoSpaceDE w:val="0"/>
        <w:autoSpaceDN w:val="0"/>
        <w:adjustRightInd w:val="0"/>
        <w:rPr>
          <w:rFonts w:cs="Calibri"/>
          <w:sz w:val="24"/>
          <w:szCs w:val="24"/>
          <w:lang w:eastAsia="en-US"/>
        </w:rPr>
      </w:pPr>
    </w:p>
    <w:p w14:paraId="45CD6CC4" w14:textId="07C1A4A8" w:rsidR="00777428" w:rsidRPr="00777428" w:rsidRDefault="00777428" w:rsidP="001D7668">
      <w:pPr>
        <w:autoSpaceDE w:val="0"/>
        <w:autoSpaceDN w:val="0"/>
        <w:adjustRightInd w:val="0"/>
        <w:rPr>
          <w:rFonts w:ascii="Arial" w:hAnsi="Arial" w:cs="Arial"/>
          <w:sz w:val="20"/>
          <w:szCs w:val="20"/>
          <w:lang w:eastAsia="en-US"/>
        </w:rPr>
      </w:pPr>
      <w:r w:rsidRPr="00777428">
        <w:rPr>
          <w:rFonts w:ascii="Arial" w:hAnsi="Arial" w:cs="Arial"/>
          <w:sz w:val="20"/>
          <w:szCs w:val="20"/>
          <w:lang w:eastAsia="en-US"/>
        </w:rPr>
        <w:t>Bildmaterial auf Anfrage</w:t>
      </w:r>
      <w:r>
        <w:rPr>
          <w:rFonts w:ascii="Arial" w:hAnsi="Arial" w:cs="Arial"/>
          <w:sz w:val="20"/>
          <w:szCs w:val="20"/>
          <w:lang w:eastAsia="en-US"/>
        </w:rPr>
        <w:t>.</w:t>
      </w:r>
    </w:p>
    <w:sectPr w:rsidR="00777428" w:rsidRPr="00777428" w:rsidSect="005F0DF8">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D12D7" w14:textId="77777777" w:rsidR="00C2043F" w:rsidRDefault="00C2043F">
      <w:r>
        <w:separator/>
      </w:r>
    </w:p>
  </w:endnote>
  <w:endnote w:type="continuationSeparator" w:id="0">
    <w:p w14:paraId="2BC29757" w14:textId="77777777" w:rsidR="00C2043F" w:rsidRDefault="00C20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13617" w14:textId="77777777" w:rsidR="005F0DF8" w:rsidRPr="005269F9" w:rsidRDefault="005F0DF8" w:rsidP="005F0DF8">
    <w:pPr>
      <w:autoSpaceDE w:val="0"/>
      <w:autoSpaceDN w:val="0"/>
      <w:adjustRightInd w:val="0"/>
      <w:jc w:val="center"/>
      <w:rPr>
        <w:rFonts w:ascii="Arial" w:hAnsi="Arial" w:cs="Arial"/>
        <w:b/>
        <w:bCs/>
        <w:sz w:val="18"/>
        <w:szCs w:val="18"/>
        <w:lang w:eastAsia="en-US"/>
      </w:rPr>
    </w:pPr>
    <w:r w:rsidRPr="005269F9">
      <w:rPr>
        <w:rFonts w:ascii="Arial" w:hAnsi="Arial" w:cs="Arial"/>
        <w:b/>
        <w:bCs/>
        <w:sz w:val="18"/>
        <w:szCs w:val="18"/>
        <w:lang w:eastAsia="en-US"/>
      </w:rPr>
      <w:t>Pressekontakt:</w:t>
    </w:r>
  </w:p>
  <w:p w14:paraId="1C8504DF" w14:textId="2AB33C6C" w:rsidR="005F0DF8" w:rsidRPr="005269F9" w:rsidRDefault="005F0DF8" w:rsidP="005F0DF8">
    <w:pPr>
      <w:autoSpaceDE w:val="0"/>
      <w:autoSpaceDN w:val="0"/>
      <w:adjustRightInd w:val="0"/>
      <w:jc w:val="center"/>
      <w:rPr>
        <w:rFonts w:ascii="Arial" w:hAnsi="Arial" w:cs="Arial"/>
        <w:sz w:val="18"/>
        <w:szCs w:val="18"/>
        <w:lang w:eastAsia="en-US"/>
      </w:rPr>
    </w:pPr>
    <w:proofErr w:type="spellStart"/>
    <w:r w:rsidRPr="005269F9">
      <w:rPr>
        <w:rFonts w:ascii="Arial" w:hAnsi="Arial" w:cs="Arial"/>
        <w:sz w:val="18"/>
        <w:szCs w:val="18"/>
        <w:lang w:eastAsia="en-US"/>
      </w:rPr>
      <w:t>mascontour</w:t>
    </w:r>
    <w:proofErr w:type="spellEnd"/>
    <w:r w:rsidRPr="005269F9">
      <w:rPr>
        <w:rFonts w:ascii="Arial" w:hAnsi="Arial" w:cs="Arial"/>
        <w:sz w:val="18"/>
        <w:szCs w:val="18"/>
        <w:lang w:eastAsia="en-US"/>
      </w:rPr>
      <w:t xml:space="preserve">, </w:t>
    </w:r>
    <w:r w:rsidR="002303B9">
      <w:rPr>
        <w:rFonts w:ascii="Arial" w:hAnsi="Arial" w:cs="Arial"/>
        <w:sz w:val="18"/>
        <w:szCs w:val="18"/>
        <w:lang w:eastAsia="en-US"/>
      </w:rPr>
      <w:t>Hendrik Wintjen</w:t>
    </w:r>
    <w:r w:rsidRPr="005269F9">
      <w:rPr>
        <w:rFonts w:ascii="Arial" w:hAnsi="Arial" w:cs="Arial"/>
        <w:sz w:val="18"/>
        <w:szCs w:val="18"/>
        <w:lang w:eastAsia="en-US"/>
      </w:rPr>
      <w:t>, Schwiebusser Str. 9, D-10965 Berlin</w:t>
    </w:r>
  </w:p>
  <w:p w14:paraId="4C6C9667" w14:textId="15D2D1DC" w:rsidR="008D6C4E" w:rsidRDefault="005F0DF8" w:rsidP="008D6C4E">
    <w:pPr>
      <w:autoSpaceDE w:val="0"/>
      <w:autoSpaceDN w:val="0"/>
      <w:adjustRightInd w:val="0"/>
      <w:jc w:val="center"/>
      <w:rPr>
        <w:rFonts w:ascii="Arial" w:hAnsi="Arial" w:cs="Arial"/>
        <w:sz w:val="18"/>
        <w:szCs w:val="18"/>
        <w:lang w:val="fr-FR" w:eastAsia="en-US"/>
      </w:rPr>
    </w:pPr>
    <w:r w:rsidRPr="002303B9">
      <w:rPr>
        <w:rFonts w:ascii="Arial" w:hAnsi="Arial" w:cs="Arial"/>
        <w:sz w:val="18"/>
        <w:szCs w:val="18"/>
        <w:lang w:val="fr-FR" w:eastAsia="en-US"/>
      </w:rPr>
      <w:t>Tel. +49 (0)30</w:t>
    </w:r>
    <w:r w:rsidR="00462D8A">
      <w:rPr>
        <w:rFonts w:ascii="Arial" w:hAnsi="Arial" w:cs="Arial"/>
        <w:sz w:val="18"/>
        <w:szCs w:val="18"/>
        <w:lang w:val="fr-FR" w:eastAsia="en-US"/>
      </w:rPr>
      <w:t xml:space="preserve"> </w:t>
    </w:r>
    <w:r w:rsidR="00B35CF6">
      <w:rPr>
        <w:rFonts w:ascii="Arial" w:hAnsi="Arial" w:cs="Arial"/>
        <w:sz w:val="18"/>
        <w:szCs w:val="18"/>
        <w:lang w:val="fr-FR" w:eastAsia="en-US"/>
      </w:rPr>
      <w:t>616</w:t>
    </w:r>
    <w:r w:rsidR="00462D8A">
      <w:rPr>
        <w:rFonts w:ascii="Arial" w:hAnsi="Arial" w:cs="Arial"/>
        <w:sz w:val="18"/>
        <w:szCs w:val="18"/>
        <w:lang w:val="fr-FR" w:eastAsia="en-US"/>
      </w:rPr>
      <w:t xml:space="preserve"> </w:t>
    </w:r>
    <w:r w:rsidR="00B35CF6">
      <w:rPr>
        <w:rFonts w:ascii="Arial" w:hAnsi="Arial" w:cs="Arial"/>
        <w:sz w:val="18"/>
        <w:szCs w:val="18"/>
        <w:lang w:val="fr-FR" w:eastAsia="en-US"/>
      </w:rPr>
      <w:t>257 47</w:t>
    </w:r>
    <w:r w:rsidRPr="005269F9">
      <w:rPr>
        <w:rFonts w:ascii="Arial" w:hAnsi="Arial" w:cs="Arial"/>
        <w:sz w:val="18"/>
        <w:szCs w:val="18"/>
        <w:lang w:val="fr-FR" w:eastAsia="en-US"/>
      </w:rPr>
      <w:t>, Fax +49 (0)3</w:t>
    </w:r>
    <w:r w:rsidR="00B35CF6">
      <w:rPr>
        <w:rFonts w:ascii="Arial" w:hAnsi="Arial" w:cs="Arial"/>
        <w:sz w:val="18"/>
        <w:szCs w:val="18"/>
        <w:lang w:val="fr-FR" w:eastAsia="en-US"/>
      </w:rPr>
      <w:t>0</w:t>
    </w:r>
    <w:r w:rsidR="00462D8A">
      <w:rPr>
        <w:rFonts w:ascii="Arial" w:hAnsi="Arial" w:cs="Arial"/>
        <w:sz w:val="18"/>
        <w:szCs w:val="18"/>
        <w:lang w:val="fr-FR" w:eastAsia="en-US"/>
      </w:rPr>
      <w:t xml:space="preserve"> </w:t>
    </w:r>
    <w:r w:rsidRPr="005269F9">
      <w:rPr>
        <w:rFonts w:ascii="Arial" w:hAnsi="Arial" w:cs="Arial"/>
        <w:sz w:val="18"/>
        <w:szCs w:val="18"/>
        <w:lang w:val="fr-FR" w:eastAsia="en-US"/>
      </w:rPr>
      <w:t xml:space="preserve">/ </w:t>
    </w:r>
    <w:r w:rsidR="00B35CF6">
      <w:rPr>
        <w:rFonts w:ascii="Arial" w:hAnsi="Arial" w:cs="Arial"/>
        <w:sz w:val="18"/>
        <w:szCs w:val="18"/>
        <w:lang w:val="fr-FR" w:eastAsia="en-US"/>
      </w:rPr>
      <w:t>612 025 84</w:t>
    </w:r>
    <w:r w:rsidRPr="005269F9">
      <w:rPr>
        <w:rFonts w:ascii="Arial" w:hAnsi="Arial" w:cs="Arial"/>
        <w:sz w:val="18"/>
        <w:szCs w:val="18"/>
        <w:lang w:val="fr-FR" w:eastAsia="en-US"/>
      </w:rPr>
      <w:t xml:space="preserve">, </w:t>
    </w:r>
    <w:hyperlink r:id="rId1" w:history="1">
      <w:r w:rsidR="00511E40" w:rsidRPr="00B02C57">
        <w:rPr>
          <w:rStyle w:val="Hyperlink"/>
          <w:rFonts w:ascii="Arial" w:hAnsi="Arial" w:cs="Arial"/>
          <w:sz w:val="18"/>
          <w:szCs w:val="18"/>
          <w:lang w:val="fr-FR" w:eastAsia="en-US"/>
        </w:rPr>
        <w:t>serbien-pr@mascontour.info</w:t>
      </w:r>
    </w:hyperlink>
  </w:p>
  <w:p w14:paraId="0D889951" w14:textId="77777777" w:rsidR="003B7C6B" w:rsidRPr="00D6155A" w:rsidRDefault="003B7C6B" w:rsidP="00D6155A">
    <w:pPr>
      <w:autoSpaceDE w:val="0"/>
      <w:autoSpaceDN w:val="0"/>
      <w:adjustRightInd w:val="0"/>
      <w:jc w:val="center"/>
      <w:rPr>
        <w:rFonts w:ascii="Arial" w:hAnsi="Arial" w:cs="Arial"/>
        <w:sz w:val="18"/>
        <w:szCs w:val="18"/>
        <w:lang w:val="fr-FR" w:eastAsia="en-US"/>
      </w:rPr>
    </w:pPr>
  </w:p>
  <w:p w14:paraId="6530A1FC" w14:textId="77777777" w:rsidR="001F5EB3" w:rsidRPr="008D6C4E" w:rsidRDefault="001F5EB3" w:rsidP="005F0DF8">
    <w:pPr>
      <w:pStyle w:val="Fuzeile"/>
      <w:jc w:val="center"/>
      <w:rPr>
        <w:rFonts w:ascii="Arial" w:hAnsi="Arial" w:cs="Arial"/>
        <w:sz w:val="18"/>
        <w:szCs w:val="18"/>
        <w:lang w:val="en-US"/>
      </w:rPr>
    </w:pPr>
  </w:p>
  <w:p w14:paraId="1F58D0A8" w14:textId="77777777" w:rsidR="005F0DF8" w:rsidRPr="008D6C4E" w:rsidRDefault="005F0DF8" w:rsidP="005F0DF8">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D313C" w14:textId="77777777" w:rsidR="00C2043F" w:rsidRDefault="00C2043F">
      <w:r>
        <w:separator/>
      </w:r>
    </w:p>
  </w:footnote>
  <w:footnote w:type="continuationSeparator" w:id="0">
    <w:p w14:paraId="77F08C5C" w14:textId="77777777" w:rsidR="00C2043F" w:rsidRDefault="00C204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9112D"/>
    <w:multiLevelType w:val="hybridMultilevel"/>
    <w:tmpl w:val="856E7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4319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3142814-2EB9-4847-AF51-3E9F45B62EF4}"/>
    <w:docVar w:name="dgnword-eventsink" w:val="1862835526160"/>
  </w:docVars>
  <w:rsids>
    <w:rsidRoot w:val="00A0190E"/>
    <w:rsid w:val="00002066"/>
    <w:rsid w:val="00014A5F"/>
    <w:rsid w:val="0002267C"/>
    <w:rsid w:val="00034E4E"/>
    <w:rsid w:val="00042F0D"/>
    <w:rsid w:val="00043114"/>
    <w:rsid w:val="00050F85"/>
    <w:rsid w:val="00055F7D"/>
    <w:rsid w:val="00056846"/>
    <w:rsid w:val="000624AF"/>
    <w:rsid w:val="00081373"/>
    <w:rsid w:val="000A62E2"/>
    <w:rsid w:val="000B04AF"/>
    <w:rsid w:val="000C6789"/>
    <w:rsid w:val="000D5BA9"/>
    <w:rsid w:val="000E0E1F"/>
    <w:rsid w:val="000E1349"/>
    <w:rsid w:val="000E7D37"/>
    <w:rsid w:val="000F01C2"/>
    <w:rsid w:val="000F282F"/>
    <w:rsid w:val="00116714"/>
    <w:rsid w:val="00120D0A"/>
    <w:rsid w:val="0012667C"/>
    <w:rsid w:val="001414CF"/>
    <w:rsid w:val="0014575D"/>
    <w:rsid w:val="00150464"/>
    <w:rsid w:val="001572B5"/>
    <w:rsid w:val="0016553C"/>
    <w:rsid w:val="0016686D"/>
    <w:rsid w:val="001731F7"/>
    <w:rsid w:val="00180180"/>
    <w:rsid w:val="00186468"/>
    <w:rsid w:val="001868F9"/>
    <w:rsid w:val="00194450"/>
    <w:rsid w:val="00195ABA"/>
    <w:rsid w:val="00197F9F"/>
    <w:rsid w:val="001B181F"/>
    <w:rsid w:val="001C4C88"/>
    <w:rsid w:val="001C6092"/>
    <w:rsid w:val="001D7668"/>
    <w:rsid w:val="001D79B6"/>
    <w:rsid w:val="001E278A"/>
    <w:rsid w:val="001E2C5A"/>
    <w:rsid w:val="001F129B"/>
    <w:rsid w:val="001F5EB3"/>
    <w:rsid w:val="002058D2"/>
    <w:rsid w:val="00207C4A"/>
    <w:rsid w:val="002100B1"/>
    <w:rsid w:val="00211082"/>
    <w:rsid w:val="00227DA2"/>
    <w:rsid w:val="002303B9"/>
    <w:rsid w:val="0023510E"/>
    <w:rsid w:val="0023521F"/>
    <w:rsid w:val="00237A8A"/>
    <w:rsid w:val="00237DEF"/>
    <w:rsid w:val="00240DFD"/>
    <w:rsid w:val="00242223"/>
    <w:rsid w:val="00243CDF"/>
    <w:rsid w:val="002452AE"/>
    <w:rsid w:val="0026173B"/>
    <w:rsid w:val="002667FC"/>
    <w:rsid w:val="0027426F"/>
    <w:rsid w:val="0028087C"/>
    <w:rsid w:val="002810BC"/>
    <w:rsid w:val="00286238"/>
    <w:rsid w:val="002A7340"/>
    <w:rsid w:val="002B1518"/>
    <w:rsid w:val="002C4750"/>
    <w:rsid w:val="002E2D86"/>
    <w:rsid w:val="002F0D6C"/>
    <w:rsid w:val="002F168B"/>
    <w:rsid w:val="00305FA9"/>
    <w:rsid w:val="0031341C"/>
    <w:rsid w:val="00315022"/>
    <w:rsid w:val="00327902"/>
    <w:rsid w:val="003404A1"/>
    <w:rsid w:val="00347336"/>
    <w:rsid w:val="0034780D"/>
    <w:rsid w:val="00350D85"/>
    <w:rsid w:val="0035115E"/>
    <w:rsid w:val="00357E72"/>
    <w:rsid w:val="0036311A"/>
    <w:rsid w:val="00363F11"/>
    <w:rsid w:val="00370505"/>
    <w:rsid w:val="0037793E"/>
    <w:rsid w:val="00381AB5"/>
    <w:rsid w:val="00390EF9"/>
    <w:rsid w:val="0039162B"/>
    <w:rsid w:val="0039337C"/>
    <w:rsid w:val="003969CF"/>
    <w:rsid w:val="003B7C6B"/>
    <w:rsid w:val="003D36F5"/>
    <w:rsid w:val="003D577B"/>
    <w:rsid w:val="003D6B94"/>
    <w:rsid w:val="003E2DFD"/>
    <w:rsid w:val="003F1E9D"/>
    <w:rsid w:val="003F2E8D"/>
    <w:rsid w:val="004160A2"/>
    <w:rsid w:val="00420C83"/>
    <w:rsid w:val="00430625"/>
    <w:rsid w:val="004356F9"/>
    <w:rsid w:val="004526ED"/>
    <w:rsid w:val="00455108"/>
    <w:rsid w:val="00462D8A"/>
    <w:rsid w:val="004864A3"/>
    <w:rsid w:val="00493912"/>
    <w:rsid w:val="004A4F3A"/>
    <w:rsid w:val="004A619A"/>
    <w:rsid w:val="004A6AF7"/>
    <w:rsid w:val="004B0B0C"/>
    <w:rsid w:val="004C1385"/>
    <w:rsid w:val="004D0F3E"/>
    <w:rsid w:val="004D4BA3"/>
    <w:rsid w:val="004E271A"/>
    <w:rsid w:val="004E3E8F"/>
    <w:rsid w:val="005017F1"/>
    <w:rsid w:val="0050309E"/>
    <w:rsid w:val="00511E40"/>
    <w:rsid w:val="00512267"/>
    <w:rsid w:val="005123D9"/>
    <w:rsid w:val="00513F62"/>
    <w:rsid w:val="005145BB"/>
    <w:rsid w:val="00521182"/>
    <w:rsid w:val="00524C2B"/>
    <w:rsid w:val="0054315B"/>
    <w:rsid w:val="00546635"/>
    <w:rsid w:val="00564E91"/>
    <w:rsid w:val="0056634F"/>
    <w:rsid w:val="0056642A"/>
    <w:rsid w:val="00585D73"/>
    <w:rsid w:val="00587507"/>
    <w:rsid w:val="0059414E"/>
    <w:rsid w:val="00597E50"/>
    <w:rsid w:val="005A64F0"/>
    <w:rsid w:val="005B127D"/>
    <w:rsid w:val="005B62A3"/>
    <w:rsid w:val="005D65B8"/>
    <w:rsid w:val="005F0DF8"/>
    <w:rsid w:val="0061126C"/>
    <w:rsid w:val="00615E04"/>
    <w:rsid w:val="00623A15"/>
    <w:rsid w:val="006266EC"/>
    <w:rsid w:val="006351A0"/>
    <w:rsid w:val="00642A8B"/>
    <w:rsid w:val="00652CD4"/>
    <w:rsid w:val="00653452"/>
    <w:rsid w:val="006655F7"/>
    <w:rsid w:val="006713BE"/>
    <w:rsid w:val="00680552"/>
    <w:rsid w:val="006911BE"/>
    <w:rsid w:val="00693911"/>
    <w:rsid w:val="006947CC"/>
    <w:rsid w:val="006A438A"/>
    <w:rsid w:val="006B3667"/>
    <w:rsid w:val="006B3E04"/>
    <w:rsid w:val="006C5690"/>
    <w:rsid w:val="006C677F"/>
    <w:rsid w:val="006D5D8D"/>
    <w:rsid w:val="006E2B2E"/>
    <w:rsid w:val="007002A8"/>
    <w:rsid w:val="007054E8"/>
    <w:rsid w:val="0070624F"/>
    <w:rsid w:val="00706D3D"/>
    <w:rsid w:val="007220EF"/>
    <w:rsid w:val="00730C10"/>
    <w:rsid w:val="00734C59"/>
    <w:rsid w:val="00741673"/>
    <w:rsid w:val="00753170"/>
    <w:rsid w:val="007578BB"/>
    <w:rsid w:val="007631CF"/>
    <w:rsid w:val="007652CB"/>
    <w:rsid w:val="00765312"/>
    <w:rsid w:val="007660AD"/>
    <w:rsid w:val="00767791"/>
    <w:rsid w:val="007724B6"/>
    <w:rsid w:val="00777428"/>
    <w:rsid w:val="00780088"/>
    <w:rsid w:val="00784101"/>
    <w:rsid w:val="007853D8"/>
    <w:rsid w:val="00791CB1"/>
    <w:rsid w:val="007971F9"/>
    <w:rsid w:val="007B5724"/>
    <w:rsid w:val="007C046C"/>
    <w:rsid w:val="007D4107"/>
    <w:rsid w:val="007E0C10"/>
    <w:rsid w:val="007E119B"/>
    <w:rsid w:val="007E27C7"/>
    <w:rsid w:val="007E3DE7"/>
    <w:rsid w:val="007F00AD"/>
    <w:rsid w:val="007F2F84"/>
    <w:rsid w:val="00800C15"/>
    <w:rsid w:val="0083661A"/>
    <w:rsid w:val="00852952"/>
    <w:rsid w:val="008743F8"/>
    <w:rsid w:val="00875D84"/>
    <w:rsid w:val="00880B0A"/>
    <w:rsid w:val="00884D10"/>
    <w:rsid w:val="008907EC"/>
    <w:rsid w:val="008A5309"/>
    <w:rsid w:val="008B02E1"/>
    <w:rsid w:val="008B1E73"/>
    <w:rsid w:val="008C012B"/>
    <w:rsid w:val="008C2466"/>
    <w:rsid w:val="008D3C94"/>
    <w:rsid w:val="008D5E47"/>
    <w:rsid w:val="008D6C4E"/>
    <w:rsid w:val="008D7E91"/>
    <w:rsid w:val="008F035F"/>
    <w:rsid w:val="008F60B9"/>
    <w:rsid w:val="00921759"/>
    <w:rsid w:val="0092524E"/>
    <w:rsid w:val="00926C45"/>
    <w:rsid w:val="00944654"/>
    <w:rsid w:val="009561E7"/>
    <w:rsid w:val="009565D4"/>
    <w:rsid w:val="00987BDC"/>
    <w:rsid w:val="00994DA2"/>
    <w:rsid w:val="00996943"/>
    <w:rsid w:val="009B19E1"/>
    <w:rsid w:val="009B3276"/>
    <w:rsid w:val="009D05E1"/>
    <w:rsid w:val="009E4866"/>
    <w:rsid w:val="009F22E4"/>
    <w:rsid w:val="009F456B"/>
    <w:rsid w:val="009F6193"/>
    <w:rsid w:val="00A0190E"/>
    <w:rsid w:val="00A051D4"/>
    <w:rsid w:val="00A21529"/>
    <w:rsid w:val="00A40E37"/>
    <w:rsid w:val="00A411CC"/>
    <w:rsid w:val="00A45797"/>
    <w:rsid w:val="00A52453"/>
    <w:rsid w:val="00A7471A"/>
    <w:rsid w:val="00A7735B"/>
    <w:rsid w:val="00A77E79"/>
    <w:rsid w:val="00A85275"/>
    <w:rsid w:val="00A900CC"/>
    <w:rsid w:val="00A915E7"/>
    <w:rsid w:val="00AA4BCB"/>
    <w:rsid w:val="00AB26E8"/>
    <w:rsid w:val="00AC35A3"/>
    <w:rsid w:val="00AD10F8"/>
    <w:rsid w:val="00AE2118"/>
    <w:rsid w:val="00AF54A2"/>
    <w:rsid w:val="00AF67FA"/>
    <w:rsid w:val="00AF6892"/>
    <w:rsid w:val="00B00335"/>
    <w:rsid w:val="00B12C64"/>
    <w:rsid w:val="00B32873"/>
    <w:rsid w:val="00B35CF6"/>
    <w:rsid w:val="00B40E02"/>
    <w:rsid w:val="00B45293"/>
    <w:rsid w:val="00B50A6A"/>
    <w:rsid w:val="00B62F7F"/>
    <w:rsid w:val="00B63333"/>
    <w:rsid w:val="00B6337E"/>
    <w:rsid w:val="00B74031"/>
    <w:rsid w:val="00B7778E"/>
    <w:rsid w:val="00B853ED"/>
    <w:rsid w:val="00B85404"/>
    <w:rsid w:val="00B862E1"/>
    <w:rsid w:val="00B91CE7"/>
    <w:rsid w:val="00B92D9C"/>
    <w:rsid w:val="00B9431D"/>
    <w:rsid w:val="00B94BD1"/>
    <w:rsid w:val="00B94FBB"/>
    <w:rsid w:val="00B97880"/>
    <w:rsid w:val="00BA35FB"/>
    <w:rsid w:val="00BA36E3"/>
    <w:rsid w:val="00BD5E74"/>
    <w:rsid w:val="00BE335E"/>
    <w:rsid w:val="00BF5F8B"/>
    <w:rsid w:val="00BF6727"/>
    <w:rsid w:val="00BF7FD2"/>
    <w:rsid w:val="00C07733"/>
    <w:rsid w:val="00C10999"/>
    <w:rsid w:val="00C2043F"/>
    <w:rsid w:val="00C27739"/>
    <w:rsid w:val="00C442DA"/>
    <w:rsid w:val="00C5532C"/>
    <w:rsid w:val="00C62C88"/>
    <w:rsid w:val="00C64696"/>
    <w:rsid w:val="00C8247E"/>
    <w:rsid w:val="00C82E9D"/>
    <w:rsid w:val="00C83FA8"/>
    <w:rsid w:val="00C86068"/>
    <w:rsid w:val="00C94AF8"/>
    <w:rsid w:val="00CA0F0C"/>
    <w:rsid w:val="00CA21AA"/>
    <w:rsid w:val="00CA594E"/>
    <w:rsid w:val="00CB3454"/>
    <w:rsid w:val="00CB6F2C"/>
    <w:rsid w:val="00CB7424"/>
    <w:rsid w:val="00CD4016"/>
    <w:rsid w:val="00CD6CE9"/>
    <w:rsid w:val="00CE3BCA"/>
    <w:rsid w:val="00CF165C"/>
    <w:rsid w:val="00CF7DB8"/>
    <w:rsid w:val="00D151C3"/>
    <w:rsid w:val="00D15640"/>
    <w:rsid w:val="00D16328"/>
    <w:rsid w:val="00D16597"/>
    <w:rsid w:val="00D415FC"/>
    <w:rsid w:val="00D4180E"/>
    <w:rsid w:val="00D52100"/>
    <w:rsid w:val="00D52C9D"/>
    <w:rsid w:val="00D54463"/>
    <w:rsid w:val="00D563AC"/>
    <w:rsid w:val="00D6155A"/>
    <w:rsid w:val="00D62338"/>
    <w:rsid w:val="00D63661"/>
    <w:rsid w:val="00D64D20"/>
    <w:rsid w:val="00D7090D"/>
    <w:rsid w:val="00D71292"/>
    <w:rsid w:val="00D7528B"/>
    <w:rsid w:val="00D76577"/>
    <w:rsid w:val="00D80169"/>
    <w:rsid w:val="00D80524"/>
    <w:rsid w:val="00D95A9D"/>
    <w:rsid w:val="00D975F9"/>
    <w:rsid w:val="00DA1C8E"/>
    <w:rsid w:val="00DC2BC5"/>
    <w:rsid w:val="00DE04FF"/>
    <w:rsid w:val="00DE0CD4"/>
    <w:rsid w:val="00DE45B1"/>
    <w:rsid w:val="00E02458"/>
    <w:rsid w:val="00E13AC0"/>
    <w:rsid w:val="00E237EE"/>
    <w:rsid w:val="00E34C47"/>
    <w:rsid w:val="00E34C50"/>
    <w:rsid w:val="00E4298E"/>
    <w:rsid w:val="00E46FCC"/>
    <w:rsid w:val="00E50797"/>
    <w:rsid w:val="00E60EC1"/>
    <w:rsid w:val="00E74585"/>
    <w:rsid w:val="00E76659"/>
    <w:rsid w:val="00E84B61"/>
    <w:rsid w:val="00E91B47"/>
    <w:rsid w:val="00EB7937"/>
    <w:rsid w:val="00EC5D12"/>
    <w:rsid w:val="00ED6C29"/>
    <w:rsid w:val="00EE4B3F"/>
    <w:rsid w:val="00EE68B4"/>
    <w:rsid w:val="00F158D9"/>
    <w:rsid w:val="00F35276"/>
    <w:rsid w:val="00F357E3"/>
    <w:rsid w:val="00F359C4"/>
    <w:rsid w:val="00F45809"/>
    <w:rsid w:val="00F53931"/>
    <w:rsid w:val="00F544AB"/>
    <w:rsid w:val="00F54DEE"/>
    <w:rsid w:val="00F55513"/>
    <w:rsid w:val="00F6423A"/>
    <w:rsid w:val="00F95116"/>
    <w:rsid w:val="00F96144"/>
    <w:rsid w:val="00FA051F"/>
    <w:rsid w:val="00FB277C"/>
    <w:rsid w:val="00FB7EF3"/>
    <w:rsid w:val="00FC62EB"/>
    <w:rsid w:val="00FD3B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E0A70"/>
  <w15:docId w15:val="{6AB829B2-5F4D-43A4-B42A-28DDF3471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A4F3A"/>
    <w:pPr>
      <w:spacing w:after="0" w:line="240" w:lineRule="auto"/>
    </w:pPr>
    <w:rPr>
      <w:rFonts w:ascii="Calibri" w:hAnsi="Calibri" w:cs="Times New Roman"/>
      <w:lang w:eastAsia="de-DE"/>
    </w:rPr>
  </w:style>
  <w:style w:type="paragraph" w:styleId="berschrift1">
    <w:name w:val="heading 1"/>
    <w:basedOn w:val="Standard"/>
    <w:next w:val="Standard"/>
    <w:link w:val="berschrift1Zchn"/>
    <w:uiPriority w:val="9"/>
    <w:qFormat/>
    <w:rsid w:val="004D0F3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berschrift2">
    <w:name w:val="heading 2"/>
    <w:basedOn w:val="Standard"/>
    <w:link w:val="berschrift2Zchn"/>
    <w:uiPriority w:val="9"/>
    <w:qFormat/>
    <w:rsid w:val="00CA21AA"/>
    <w:pPr>
      <w:spacing w:before="100" w:beforeAutospacing="1" w:after="100" w:afterAutospacing="1"/>
      <w:outlineLvl w:val="1"/>
    </w:pPr>
    <w:rPr>
      <w:rFonts w:ascii="Times New Roman" w:eastAsia="Times New Roman" w:hAnsi="Times New Roman"/>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A4F3A"/>
    <w:rPr>
      <w:color w:val="0000FF"/>
      <w:u w:val="single"/>
    </w:rPr>
  </w:style>
  <w:style w:type="paragraph" w:styleId="Fuzeile">
    <w:name w:val="footer"/>
    <w:basedOn w:val="Standard"/>
    <w:link w:val="FuzeileZchn"/>
    <w:uiPriority w:val="99"/>
    <w:unhideWhenUsed/>
    <w:rsid w:val="004A4F3A"/>
    <w:pPr>
      <w:tabs>
        <w:tab w:val="center" w:pos="4536"/>
        <w:tab w:val="right" w:pos="9072"/>
      </w:tabs>
    </w:pPr>
  </w:style>
  <w:style w:type="character" w:customStyle="1" w:styleId="FuzeileZchn">
    <w:name w:val="Fußzeile Zchn"/>
    <w:basedOn w:val="Absatz-Standardschriftart"/>
    <w:link w:val="Fuzeile"/>
    <w:uiPriority w:val="99"/>
    <w:rsid w:val="004A4F3A"/>
    <w:rPr>
      <w:rFonts w:ascii="Calibri" w:hAnsi="Calibri" w:cs="Times New Roman"/>
      <w:lang w:eastAsia="de-DE"/>
    </w:rPr>
  </w:style>
  <w:style w:type="character" w:customStyle="1" w:styleId="berschrift2Zchn">
    <w:name w:val="Überschrift 2 Zchn"/>
    <w:basedOn w:val="Absatz-Standardschriftart"/>
    <w:link w:val="berschrift2"/>
    <w:uiPriority w:val="9"/>
    <w:rsid w:val="00CA21AA"/>
    <w:rPr>
      <w:rFonts w:ascii="Times New Roman" w:eastAsia="Times New Roman" w:hAnsi="Times New Roman" w:cs="Times New Roman"/>
      <w:b/>
      <w:bCs/>
      <w:sz w:val="36"/>
      <w:szCs w:val="36"/>
      <w:lang w:eastAsia="de-DE"/>
    </w:rPr>
  </w:style>
  <w:style w:type="paragraph" w:styleId="Textkrper2">
    <w:name w:val="Body Text 2"/>
    <w:basedOn w:val="Standard"/>
    <w:link w:val="Textkrper2Zchn"/>
    <w:semiHidden/>
    <w:rsid w:val="00564E91"/>
    <w:pPr>
      <w:spacing w:before="120" w:line="360" w:lineRule="auto"/>
      <w:ind w:right="-28"/>
    </w:pPr>
    <w:rPr>
      <w:rFonts w:ascii="Arial" w:eastAsia="Times New Roman" w:hAnsi="Arial"/>
      <w:szCs w:val="20"/>
    </w:rPr>
  </w:style>
  <w:style w:type="character" w:customStyle="1" w:styleId="Textkrper2Zchn">
    <w:name w:val="Textkörper 2 Zchn"/>
    <w:basedOn w:val="Absatz-Standardschriftart"/>
    <w:link w:val="Textkrper2"/>
    <w:semiHidden/>
    <w:rsid w:val="00564E91"/>
    <w:rPr>
      <w:rFonts w:ascii="Arial" w:eastAsia="Times New Roman" w:hAnsi="Arial" w:cs="Times New Roman"/>
      <w:szCs w:val="20"/>
      <w:lang w:eastAsia="de-DE"/>
    </w:rPr>
  </w:style>
  <w:style w:type="paragraph" w:styleId="Listenabsatz">
    <w:name w:val="List Paragraph"/>
    <w:basedOn w:val="Standard"/>
    <w:uiPriority w:val="34"/>
    <w:qFormat/>
    <w:rsid w:val="00F359C4"/>
    <w:pPr>
      <w:ind w:left="720"/>
      <w:contextualSpacing/>
    </w:pPr>
  </w:style>
  <w:style w:type="paragraph" w:styleId="Sprechblasentext">
    <w:name w:val="Balloon Text"/>
    <w:basedOn w:val="Standard"/>
    <w:link w:val="SprechblasentextZchn"/>
    <w:uiPriority w:val="99"/>
    <w:semiHidden/>
    <w:unhideWhenUsed/>
    <w:rsid w:val="008D5E4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D5E47"/>
    <w:rPr>
      <w:rFonts w:ascii="Tahoma" w:hAnsi="Tahoma" w:cs="Tahoma"/>
      <w:sz w:val="16"/>
      <w:szCs w:val="16"/>
      <w:lang w:eastAsia="de-DE"/>
    </w:rPr>
  </w:style>
  <w:style w:type="character" w:customStyle="1" w:styleId="apple-converted-space">
    <w:name w:val="apple-converted-space"/>
    <w:basedOn w:val="Absatz-Standardschriftart"/>
    <w:rsid w:val="008907EC"/>
  </w:style>
  <w:style w:type="character" w:customStyle="1" w:styleId="berschrift1Zchn">
    <w:name w:val="Überschrift 1 Zchn"/>
    <w:basedOn w:val="Absatz-Standardschriftart"/>
    <w:link w:val="berschrift1"/>
    <w:uiPriority w:val="9"/>
    <w:rsid w:val="004D0F3E"/>
    <w:rPr>
      <w:rFonts w:asciiTheme="majorHAnsi" w:eastAsiaTheme="majorEastAsia" w:hAnsiTheme="majorHAnsi" w:cstheme="majorBidi"/>
      <w:b/>
      <w:bCs/>
      <w:color w:val="2E74B5" w:themeColor="accent1" w:themeShade="BF"/>
      <w:sz w:val="28"/>
      <w:szCs w:val="28"/>
      <w:lang w:eastAsia="de-DE"/>
    </w:rPr>
  </w:style>
  <w:style w:type="paragraph" w:styleId="Kopfzeile">
    <w:name w:val="header"/>
    <w:basedOn w:val="Standard"/>
    <w:link w:val="KopfzeileZchn"/>
    <w:uiPriority w:val="99"/>
    <w:unhideWhenUsed/>
    <w:rsid w:val="002303B9"/>
    <w:pPr>
      <w:tabs>
        <w:tab w:val="center" w:pos="4536"/>
        <w:tab w:val="right" w:pos="9072"/>
      </w:tabs>
    </w:pPr>
  </w:style>
  <w:style w:type="character" w:customStyle="1" w:styleId="KopfzeileZchn">
    <w:name w:val="Kopfzeile Zchn"/>
    <w:basedOn w:val="Absatz-Standardschriftart"/>
    <w:link w:val="Kopfzeile"/>
    <w:uiPriority w:val="99"/>
    <w:rsid w:val="002303B9"/>
    <w:rPr>
      <w:rFonts w:ascii="Calibri" w:hAnsi="Calibri" w:cs="Times New Roman"/>
      <w:lang w:eastAsia="de-DE"/>
    </w:rPr>
  </w:style>
  <w:style w:type="character" w:styleId="NichtaufgelsteErwhnung">
    <w:name w:val="Unresolved Mention"/>
    <w:basedOn w:val="Absatz-Standardschriftart"/>
    <w:uiPriority w:val="99"/>
    <w:semiHidden/>
    <w:unhideWhenUsed/>
    <w:rsid w:val="003E2DFD"/>
    <w:rPr>
      <w:color w:val="605E5C"/>
      <w:shd w:val="clear" w:color="auto" w:fill="E1DFDD"/>
    </w:rPr>
  </w:style>
  <w:style w:type="character" w:styleId="BesuchterLink">
    <w:name w:val="FollowedHyperlink"/>
    <w:basedOn w:val="Absatz-Standardschriftart"/>
    <w:uiPriority w:val="99"/>
    <w:semiHidden/>
    <w:unhideWhenUsed/>
    <w:rsid w:val="00186468"/>
    <w:rPr>
      <w:color w:val="954F72" w:themeColor="followedHyperlink"/>
      <w:u w:val="single"/>
    </w:rPr>
  </w:style>
  <w:style w:type="character" w:styleId="Kommentarzeichen">
    <w:name w:val="annotation reference"/>
    <w:basedOn w:val="Absatz-Standardschriftart"/>
    <w:uiPriority w:val="99"/>
    <w:semiHidden/>
    <w:unhideWhenUsed/>
    <w:rsid w:val="007631CF"/>
    <w:rPr>
      <w:sz w:val="16"/>
      <w:szCs w:val="16"/>
    </w:rPr>
  </w:style>
  <w:style w:type="paragraph" w:styleId="Kommentartext">
    <w:name w:val="annotation text"/>
    <w:basedOn w:val="Standard"/>
    <w:link w:val="KommentartextZchn"/>
    <w:uiPriority w:val="99"/>
    <w:unhideWhenUsed/>
    <w:rsid w:val="007631CF"/>
    <w:rPr>
      <w:sz w:val="20"/>
      <w:szCs w:val="20"/>
    </w:rPr>
  </w:style>
  <w:style w:type="character" w:customStyle="1" w:styleId="KommentartextZchn">
    <w:name w:val="Kommentartext Zchn"/>
    <w:basedOn w:val="Absatz-Standardschriftart"/>
    <w:link w:val="Kommentartext"/>
    <w:uiPriority w:val="99"/>
    <w:rsid w:val="007631CF"/>
    <w:rPr>
      <w:rFonts w:ascii="Calibri" w:hAnsi="Calibri"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631CF"/>
    <w:rPr>
      <w:b/>
      <w:bCs/>
    </w:rPr>
  </w:style>
  <w:style w:type="character" w:customStyle="1" w:styleId="KommentarthemaZchn">
    <w:name w:val="Kommentarthema Zchn"/>
    <w:basedOn w:val="KommentartextZchn"/>
    <w:link w:val="Kommentarthema"/>
    <w:uiPriority w:val="99"/>
    <w:semiHidden/>
    <w:rsid w:val="007631CF"/>
    <w:rPr>
      <w:rFonts w:ascii="Calibri" w:hAnsi="Calibri"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846939121">
      <w:bodyDiv w:val="1"/>
      <w:marLeft w:val="0"/>
      <w:marRight w:val="0"/>
      <w:marTop w:val="0"/>
      <w:marBottom w:val="0"/>
      <w:divBdr>
        <w:top w:val="none" w:sz="0" w:space="0" w:color="auto"/>
        <w:left w:val="none" w:sz="0" w:space="0" w:color="auto"/>
        <w:bottom w:val="none" w:sz="0" w:space="0" w:color="auto"/>
        <w:right w:val="none" w:sz="0" w:space="0" w:color="auto"/>
      </w:divBdr>
    </w:div>
    <w:div w:id="1175725745">
      <w:bodyDiv w:val="1"/>
      <w:marLeft w:val="0"/>
      <w:marRight w:val="0"/>
      <w:marTop w:val="0"/>
      <w:marBottom w:val="0"/>
      <w:divBdr>
        <w:top w:val="none" w:sz="0" w:space="0" w:color="auto"/>
        <w:left w:val="none" w:sz="0" w:space="0" w:color="auto"/>
        <w:bottom w:val="none" w:sz="0" w:space="0" w:color="auto"/>
        <w:right w:val="none" w:sz="0" w:space="0" w:color="auto"/>
      </w:divBdr>
    </w:div>
    <w:div w:id="1331178900">
      <w:bodyDiv w:val="1"/>
      <w:marLeft w:val="0"/>
      <w:marRight w:val="0"/>
      <w:marTop w:val="0"/>
      <w:marBottom w:val="0"/>
      <w:divBdr>
        <w:top w:val="none" w:sz="0" w:space="0" w:color="auto"/>
        <w:left w:val="none" w:sz="0" w:space="0" w:color="auto"/>
        <w:bottom w:val="none" w:sz="0" w:space="0" w:color="auto"/>
        <w:right w:val="none" w:sz="0" w:space="0" w:color="auto"/>
      </w:divBdr>
    </w:div>
    <w:div w:id="1445658863">
      <w:bodyDiv w:val="1"/>
      <w:marLeft w:val="0"/>
      <w:marRight w:val="0"/>
      <w:marTop w:val="0"/>
      <w:marBottom w:val="0"/>
      <w:divBdr>
        <w:top w:val="none" w:sz="0" w:space="0" w:color="auto"/>
        <w:left w:val="none" w:sz="0" w:space="0" w:color="auto"/>
        <w:bottom w:val="none" w:sz="0" w:space="0" w:color="auto"/>
        <w:right w:val="none" w:sz="0" w:space="0" w:color="auto"/>
      </w:divBdr>
    </w:div>
    <w:div w:id="1559823378">
      <w:bodyDiv w:val="1"/>
      <w:marLeft w:val="0"/>
      <w:marRight w:val="0"/>
      <w:marTop w:val="0"/>
      <w:marBottom w:val="0"/>
      <w:divBdr>
        <w:top w:val="none" w:sz="0" w:space="0" w:color="auto"/>
        <w:left w:val="none" w:sz="0" w:space="0" w:color="auto"/>
        <w:bottom w:val="none" w:sz="0" w:space="0" w:color="auto"/>
        <w:right w:val="none" w:sz="0" w:space="0" w:color="auto"/>
      </w:divBdr>
    </w:div>
    <w:div w:id="160256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xpobelgrade2027.org/en" TargetMode="Externa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mailto:serbien-pr@mascontour.info"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30366A3-3AC7-4497-9463-7C458803DEF7}">
  <we:reference id="wa200000368" version="1.0.0.0" store="de-DE" storeType="OMEX"/>
  <we:alternateReferences>
    <we:reference id="WA200000368" version="1.0.0.0" store="" storeType="OMEX"/>
  </we:alternateReferences>
  <we:properties>
    <we:property name="documentId" value="&quot;b260ee12b0593b77&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14974-3A71-4CCC-992A-CD073C0F4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495</Words>
  <Characters>3121</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DK</dc:creator>
  <cp:lastModifiedBy>Hendrik Wintjen</cp:lastModifiedBy>
  <cp:revision>4</cp:revision>
  <cp:lastPrinted>2024-04-05T13:38:00Z</cp:lastPrinted>
  <dcterms:created xsi:type="dcterms:W3CDTF">2026-02-27T17:59:00Z</dcterms:created>
  <dcterms:modified xsi:type="dcterms:W3CDTF">2026-03-01T21:47:00Z</dcterms:modified>
</cp:coreProperties>
</file>